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September 10,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Chris’ Letter to Ron Franz</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Write a full quotation ID (with four parts) for one of the two following selections. Both of them are on p.57 of </w:t>
      </w:r>
      <w:r w:rsidRPr="00000000" w:rsidR="00000000" w:rsidDel="00000000">
        <w:rPr>
          <w:rFonts w:cs="Times New Roman" w:hAnsi="Times New Roman" w:eastAsia="Times New Roman" w:ascii="Times New Roman"/>
          <w:i w:val="1"/>
          <w:rtl w:val="0"/>
        </w:rPr>
        <w:t xml:space="preserve">ITW</w:t>
      </w:r>
      <w:r w:rsidRPr="00000000" w:rsidR="00000000" w:rsidDel="00000000">
        <w:rPr>
          <w:rFonts w:cs="Times New Roman" w:hAnsi="Times New Roman" w:eastAsia="Times New Roman" w:ascii="Times New Roman"/>
          <w:rtl w:val="0"/>
        </w:rPr>
        <w:t xml:space="preserve">. Remember: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1. Locate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2. Paraphrase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3. Comment on structure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4. Comment on important words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8"/>
          <w:rtl w:val="0"/>
        </w:rPr>
        <w:t xml:space="preserve">1. “So many live within unhappy circumstances and yet will not take the initiative to change their situation because they are conditioned to a life of security, conformity, and conservatism, all of which may appear to give one peace of mind, but in reality nothing is more damaging to the adventurous spirit within a man than a secure future. The very basic core of a man’s living spirit is his passion for adventure.”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8"/>
          <w:rtl w:val="0"/>
        </w:rPr>
        <w:t xml:space="preserve">2. “You are wrong if you think Joy emanates only or principally from human relationships. God has placed it all around us. It is in everything and anything we might experience. We just have to have the courage to turn against our habitual lifestyle and engage in unconventional living.”</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ITW Franz QID.docx</dc:title>
</cp:coreProperties>
</file>